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C840" w14:textId="77777777" w:rsidR="00D76CE9" w:rsidRPr="00BF3010" w:rsidRDefault="00D76CE9" w:rsidP="00D76CE9">
      <w:pPr>
        <w:pBdr>
          <w:bottom w:val="single" w:sz="4" w:space="1" w:color="auto"/>
        </w:pBdr>
        <w:shd w:val="clear" w:color="auto" w:fill="FFFFFF"/>
        <w:spacing w:before="150" w:after="150" w:line="600" w:lineRule="atLeast"/>
        <w:jc w:val="center"/>
        <w:outlineLvl w:val="1"/>
        <w:rPr>
          <w:rFonts w:ascii="Garamond" w:eastAsia="Times New Roman" w:hAnsi="Garamond" w:cs="Helvetica"/>
          <w:b/>
          <w:bCs/>
          <w:color w:val="333333"/>
          <w:sz w:val="24"/>
          <w:szCs w:val="24"/>
        </w:rPr>
      </w:pPr>
      <w:r w:rsidRPr="00BF3010">
        <w:rPr>
          <w:rFonts w:ascii="Garamond" w:eastAsia="Times New Roman" w:hAnsi="Garamond" w:cs="Helvetica"/>
          <w:b/>
          <w:bCs/>
          <w:color w:val="333333"/>
          <w:sz w:val="24"/>
          <w:szCs w:val="24"/>
        </w:rPr>
        <w:t>Contaminated Surplus Property</w:t>
      </w:r>
    </w:p>
    <w:p w14:paraId="57F90D19" w14:textId="77777777" w:rsidR="00D76CE9" w:rsidRDefault="00D76CE9" w:rsidP="00D76CE9">
      <w:pPr>
        <w:pBdr>
          <w:bottom w:val="single" w:sz="4" w:space="1" w:color="auto"/>
        </w:pBdr>
        <w:shd w:val="clear" w:color="auto" w:fill="FFFFFF"/>
        <w:spacing w:before="150" w:after="150" w:line="240" w:lineRule="auto"/>
        <w:outlineLvl w:val="1"/>
        <w:rPr>
          <w:rFonts w:ascii="Garamond" w:eastAsia="Times New Roman" w:hAnsi="Garamond" w:cs="Helvetica"/>
          <w:b/>
          <w:bCs/>
          <w:color w:val="333333"/>
          <w:sz w:val="24"/>
          <w:szCs w:val="24"/>
        </w:rPr>
      </w:pPr>
      <w:r w:rsidRPr="00BF3010">
        <w:rPr>
          <w:rFonts w:ascii="Garamond" w:eastAsia="Times New Roman" w:hAnsi="Garamond" w:cs="Helvetica"/>
          <w:b/>
          <w:bCs/>
          <w:color w:val="333333"/>
          <w:sz w:val="24"/>
          <w:szCs w:val="24"/>
        </w:rPr>
        <w:t>Authority: EH&amp;S</w:t>
      </w:r>
      <w:r w:rsidRPr="00BF3010">
        <w:rPr>
          <w:rFonts w:ascii="Garamond" w:eastAsia="Times New Roman" w:hAnsi="Garamond" w:cs="Helvetica"/>
          <w:b/>
          <w:bCs/>
          <w:color w:val="333333"/>
          <w:sz w:val="24"/>
          <w:szCs w:val="24"/>
        </w:rPr>
        <w:br/>
        <w:t xml:space="preserve">Reference: </w:t>
      </w:r>
      <w:hyperlink r:id="rId7" w:history="1">
        <w:r w:rsidRPr="00BF3010">
          <w:rPr>
            <w:rStyle w:val="Hyperlink"/>
            <w:rFonts w:ascii="Garamond" w:eastAsia="Times New Roman" w:hAnsi="Garamond" w:cs="Helvetica"/>
            <w:bCs/>
            <w:sz w:val="24"/>
            <w:szCs w:val="24"/>
          </w:rPr>
          <w:t>http://www.ecu.edu/cs-admin/oehs/ih/Surplus-Property.cfm</w:t>
        </w:r>
      </w:hyperlink>
      <w:r w:rsidRPr="00BF3010">
        <w:rPr>
          <w:rFonts w:ascii="Garamond" w:eastAsia="Times New Roman" w:hAnsi="Garamond" w:cs="Helvetica"/>
          <w:b/>
          <w:bCs/>
          <w:color w:val="333333"/>
          <w:sz w:val="24"/>
          <w:szCs w:val="24"/>
        </w:rPr>
        <w:t xml:space="preserve"> </w:t>
      </w:r>
    </w:p>
    <w:p w14:paraId="08786DB9" w14:textId="062FCD9C" w:rsidR="000E5B7A" w:rsidRDefault="009B5C0C" w:rsidP="00D76CE9">
      <w:pPr>
        <w:pBdr>
          <w:bottom w:val="single" w:sz="4" w:space="1" w:color="auto"/>
        </w:pBdr>
        <w:shd w:val="clear" w:color="auto" w:fill="FFFFFF"/>
        <w:spacing w:before="150" w:after="150" w:line="240" w:lineRule="auto"/>
        <w:outlineLvl w:val="1"/>
        <w:rPr>
          <w:rFonts w:ascii="Garamond" w:eastAsia="Times New Roman" w:hAnsi="Garamond" w:cs="Helvetica"/>
          <w:b/>
          <w:bCs/>
          <w:color w:val="333333"/>
          <w:sz w:val="24"/>
          <w:szCs w:val="24"/>
        </w:rPr>
      </w:pPr>
      <w:r>
        <w:rPr>
          <w:rFonts w:ascii="Garamond" w:eastAsia="Times New Roman" w:hAnsi="Garamond" w:cs="Helvetica"/>
          <w:b/>
          <w:bCs/>
          <w:color w:val="333333"/>
          <w:sz w:val="24"/>
          <w:szCs w:val="24"/>
        </w:rPr>
        <w:t>August 2022</w:t>
      </w:r>
    </w:p>
    <w:p w14:paraId="0F160C6E" w14:textId="77777777" w:rsidR="007500F8" w:rsidRPr="00BF3010" w:rsidRDefault="007500F8" w:rsidP="00D76CE9">
      <w:pPr>
        <w:pBdr>
          <w:bottom w:val="single" w:sz="4" w:space="1" w:color="auto"/>
        </w:pBdr>
        <w:shd w:val="clear" w:color="auto" w:fill="FFFFFF"/>
        <w:spacing w:before="150" w:after="150" w:line="240" w:lineRule="auto"/>
        <w:outlineLvl w:val="1"/>
        <w:rPr>
          <w:rFonts w:ascii="Garamond" w:eastAsia="Times New Roman" w:hAnsi="Garamond" w:cs="Helvetica"/>
          <w:b/>
          <w:bCs/>
          <w:color w:val="333333"/>
          <w:sz w:val="24"/>
          <w:szCs w:val="24"/>
        </w:rPr>
      </w:pPr>
      <w:r>
        <w:rPr>
          <w:rFonts w:ascii="Garamond" w:eastAsia="Times New Roman" w:hAnsi="Garamond" w:cs="Helvetica"/>
          <w:b/>
          <w:bCs/>
          <w:color w:val="333333"/>
          <w:sz w:val="24"/>
          <w:szCs w:val="24"/>
        </w:rPr>
        <w:t>Contact Persons: EH&amp;S Specialist 328-6166 or Assistant Director 328-6166</w:t>
      </w:r>
    </w:p>
    <w:p w14:paraId="5BE7909B" w14:textId="77777777" w:rsidR="001D104E" w:rsidRPr="001D104E" w:rsidRDefault="00D76CE9" w:rsidP="001D104E">
      <w:pPr>
        <w:numPr>
          <w:ilvl w:val="0"/>
          <w:numId w:val="1"/>
        </w:numPr>
        <w:shd w:val="clear" w:color="auto" w:fill="FFFFFF"/>
        <w:spacing w:before="100" w:beforeAutospacing="1" w:after="240" w:line="240" w:lineRule="auto"/>
        <w:ind w:left="375"/>
        <w:rPr>
          <w:rFonts w:ascii="Garamond" w:eastAsia="Times New Roman" w:hAnsi="Garamond" w:cs="Helvetica"/>
          <w:color w:val="333333"/>
          <w:sz w:val="24"/>
          <w:szCs w:val="24"/>
        </w:rPr>
      </w:pPr>
      <w:r w:rsidRPr="000E5B7A">
        <w:rPr>
          <w:rFonts w:ascii="Garamond" w:eastAsia="Times New Roman" w:hAnsi="Garamond" w:cs="Helvetica"/>
          <w:b/>
          <w:color w:val="333333"/>
          <w:sz w:val="24"/>
          <w:szCs w:val="24"/>
        </w:rPr>
        <w:t>Introduction:</w:t>
      </w:r>
    </w:p>
    <w:p w14:paraId="5DA3706F" w14:textId="77777777" w:rsidR="00D76CE9" w:rsidRPr="001D104E" w:rsidRDefault="001D104E" w:rsidP="001D104E">
      <w:pPr>
        <w:shd w:val="clear" w:color="auto" w:fill="FFFFFF"/>
        <w:spacing w:before="100" w:beforeAutospacing="1" w:after="240" w:line="240" w:lineRule="auto"/>
        <w:ind w:left="720" w:hanging="705"/>
        <w:rPr>
          <w:rFonts w:ascii="Garamond" w:eastAsia="Times New Roman" w:hAnsi="Garamond" w:cs="Helvetica"/>
          <w:color w:val="333333"/>
          <w:sz w:val="24"/>
          <w:szCs w:val="24"/>
        </w:rPr>
      </w:pPr>
      <w:r w:rsidRPr="001D104E">
        <w:rPr>
          <w:rFonts w:ascii="Garamond" w:eastAsia="Times New Roman" w:hAnsi="Garamond" w:cs="Helvetica"/>
          <w:color w:val="333333"/>
          <w:sz w:val="24"/>
          <w:szCs w:val="24"/>
        </w:rPr>
        <w:t>1.1</w:t>
      </w:r>
      <w:r w:rsidRPr="001D104E">
        <w:rPr>
          <w:rFonts w:ascii="Garamond" w:eastAsia="Times New Roman" w:hAnsi="Garamond" w:cs="Helvetica"/>
          <w:color w:val="333333"/>
          <w:sz w:val="24"/>
          <w:szCs w:val="24"/>
        </w:rPr>
        <w:tab/>
      </w:r>
      <w:r w:rsidR="00D76CE9" w:rsidRPr="001D104E">
        <w:rPr>
          <w:rFonts w:ascii="Garamond" w:eastAsia="Times New Roman" w:hAnsi="Garamond" w:cs="Helvetica"/>
          <w:color w:val="333333"/>
          <w:sz w:val="24"/>
          <w:szCs w:val="24"/>
        </w:rPr>
        <w:t>When offering equipment for surplus or transfer that contains or is potentially contaminated with chemical, biological or radiological hazards, the equipment owner must first contact EH&amp;S (chemical) or Prospective Health (biological or radiological) for authorization and guidance. </w:t>
      </w:r>
    </w:p>
    <w:p w14:paraId="621D4244" w14:textId="77777777" w:rsidR="000937A2" w:rsidRDefault="000937A2" w:rsidP="001D104E">
      <w:pPr>
        <w:numPr>
          <w:ilvl w:val="0"/>
          <w:numId w:val="1"/>
        </w:numPr>
        <w:shd w:val="clear" w:color="auto" w:fill="FFFFFF"/>
        <w:spacing w:after="0" w:line="240" w:lineRule="auto"/>
        <w:ind w:left="375"/>
        <w:rPr>
          <w:rFonts w:ascii="Garamond" w:eastAsia="Times New Roman" w:hAnsi="Garamond" w:cs="Helvetica"/>
          <w:b/>
          <w:color w:val="333333"/>
          <w:sz w:val="24"/>
          <w:szCs w:val="24"/>
        </w:rPr>
      </w:pPr>
      <w:r w:rsidRPr="000E5B7A">
        <w:rPr>
          <w:rFonts w:ascii="Garamond" w:eastAsia="Times New Roman" w:hAnsi="Garamond" w:cs="Helvetica"/>
          <w:b/>
          <w:color w:val="333333"/>
          <w:sz w:val="24"/>
          <w:szCs w:val="24"/>
        </w:rPr>
        <w:t xml:space="preserve">Responsibilities </w:t>
      </w:r>
    </w:p>
    <w:p w14:paraId="178412C8" w14:textId="77777777" w:rsidR="001D104E" w:rsidRPr="000E5B7A" w:rsidRDefault="001D104E" w:rsidP="001D104E">
      <w:pPr>
        <w:shd w:val="clear" w:color="auto" w:fill="FFFFFF"/>
        <w:spacing w:after="0" w:line="240" w:lineRule="auto"/>
        <w:ind w:left="375"/>
        <w:rPr>
          <w:rFonts w:ascii="Garamond" w:eastAsia="Times New Roman" w:hAnsi="Garamond" w:cs="Helvetica"/>
          <w:b/>
          <w:color w:val="333333"/>
          <w:sz w:val="24"/>
          <w:szCs w:val="24"/>
        </w:rPr>
      </w:pPr>
    </w:p>
    <w:p w14:paraId="40D14199" w14:textId="77777777" w:rsidR="00343986" w:rsidRPr="000E5B7A" w:rsidRDefault="00343986" w:rsidP="001D104E">
      <w:pPr>
        <w:pStyle w:val="ListParagraph"/>
        <w:numPr>
          <w:ilvl w:val="1"/>
          <w:numId w:val="8"/>
        </w:numPr>
        <w:shd w:val="clear" w:color="auto" w:fill="FFFFFF"/>
        <w:spacing w:after="0" w:line="240" w:lineRule="auto"/>
        <w:rPr>
          <w:rFonts w:ascii="Garamond" w:eastAsia="Times New Roman" w:hAnsi="Garamond" w:cs="Helvetica"/>
          <w:b/>
          <w:color w:val="333333"/>
          <w:sz w:val="24"/>
          <w:szCs w:val="24"/>
        </w:rPr>
      </w:pPr>
      <w:r w:rsidRPr="000E5B7A">
        <w:rPr>
          <w:rFonts w:ascii="Garamond" w:eastAsia="Times New Roman" w:hAnsi="Garamond" w:cs="Helvetica"/>
          <w:b/>
          <w:color w:val="333333"/>
          <w:sz w:val="24"/>
          <w:szCs w:val="24"/>
        </w:rPr>
        <w:t>Equipment Owners</w:t>
      </w:r>
    </w:p>
    <w:p w14:paraId="36CE543D" w14:textId="77777777" w:rsidR="000937A2" w:rsidRPr="000E5B7A" w:rsidRDefault="00D76CE9" w:rsidP="001D104E">
      <w:pPr>
        <w:pStyle w:val="ListParagraph"/>
        <w:numPr>
          <w:ilvl w:val="2"/>
          <w:numId w:val="8"/>
        </w:numPr>
        <w:shd w:val="clear" w:color="auto" w:fill="FFFFFF"/>
        <w:spacing w:after="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Equipment owners must certify that the equipment does not contain or is not contaminated with hazardous materials. </w:t>
      </w:r>
    </w:p>
    <w:p w14:paraId="248270D8" w14:textId="77777777" w:rsidR="007929D7" w:rsidRPr="000E5B7A" w:rsidRDefault="007929D7" w:rsidP="001D104E">
      <w:pPr>
        <w:pStyle w:val="ListParagraph"/>
        <w:shd w:val="clear" w:color="auto" w:fill="FFFFFF"/>
        <w:spacing w:before="100" w:beforeAutospacing="1" w:after="240" w:line="240" w:lineRule="auto"/>
        <w:rPr>
          <w:rFonts w:ascii="Garamond" w:eastAsia="Times New Roman" w:hAnsi="Garamond" w:cs="Helvetica"/>
          <w:color w:val="333333"/>
          <w:sz w:val="24"/>
          <w:szCs w:val="24"/>
        </w:rPr>
      </w:pPr>
    </w:p>
    <w:p w14:paraId="3B2FC94A" w14:textId="77777777" w:rsidR="007929D7" w:rsidRPr="000E5B7A" w:rsidRDefault="00BD483D" w:rsidP="001D104E">
      <w:pPr>
        <w:pStyle w:val="ListParagraph"/>
        <w:numPr>
          <w:ilvl w:val="2"/>
          <w:numId w:val="8"/>
        </w:numPr>
        <w:shd w:val="clear" w:color="auto" w:fill="FFFFFF"/>
        <w:spacing w:before="100" w:beforeAutospacing="1" w:after="24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The “Surplus Property Hazard Assessment” tag must be completed by the equipment owner and attached to the property in a conspicuous location and secure manner.  Tags are available for print </w:t>
      </w:r>
      <w:hyperlink r:id="rId8" w:history="1">
        <w:r w:rsidRPr="007500F8">
          <w:rPr>
            <w:rFonts w:ascii="Garamond" w:eastAsia="Times New Roman" w:hAnsi="Garamond" w:cs="Helvetica"/>
            <w:b/>
            <w:color w:val="482071"/>
            <w:sz w:val="24"/>
            <w:szCs w:val="24"/>
          </w:rPr>
          <w:t>HERE</w:t>
        </w:r>
      </w:hyperlink>
      <w:r w:rsidRPr="000E5B7A">
        <w:rPr>
          <w:rFonts w:ascii="Garamond" w:eastAsia="Times New Roman" w:hAnsi="Garamond" w:cs="Helvetica"/>
          <w:color w:val="333333"/>
          <w:sz w:val="24"/>
          <w:szCs w:val="24"/>
        </w:rPr>
        <w:t>.  The tags should be printed on 3 1/3” X 4” self-adhesive shipping labels (Avery 5164/8164 or compatible) so they can be securely attached to equipment.</w:t>
      </w:r>
    </w:p>
    <w:p w14:paraId="3349E5EA" w14:textId="77777777" w:rsidR="007929D7" w:rsidRPr="000E5B7A" w:rsidRDefault="007929D7" w:rsidP="001D104E">
      <w:pPr>
        <w:pStyle w:val="ListParagraph"/>
        <w:rPr>
          <w:rFonts w:ascii="Garamond" w:eastAsia="Times New Roman" w:hAnsi="Garamond" w:cs="Helvetica"/>
          <w:color w:val="333333"/>
          <w:sz w:val="24"/>
          <w:szCs w:val="24"/>
        </w:rPr>
      </w:pPr>
    </w:p>
    <w:p w14:paraId="3506072B" w14:textId="77777777" w:rsidR="007929D7" w:rsidRPr="000E5B7A" w:rsidRDefault="00BD483D" w:rsidP="001D104E">
      <w:pPr>
        <w:pStyle w:val="ListParagraph"/>
        <w:numPr>
          <w:ilvl w:val="2"/>
          <w:numId w:val="8"/>
        </w:numPr>
        <w:shd w:val="clear" w:color="auto" w:fill="FFFFFF"/>
        <w:spacing w:before="100" w:beforeAutospacing="1" w:after="24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 xml:space="preserve">The equipment owner must schedule move of the equipment </w:t>
      </w:r>
      <w:r w:rsidR="0045677C" w:rsidRPr="000E5B7A">
        <w:rPr>
          <w:rFonts w:ascii="Garamond" w:eastAsia="Times New Roman" w:hAnsi="Garamond" w:cs="Helvetica"/>
          <w:color w:val="333333"/>
          <w:sz w:val="24"/>
          <w:szCs w:val="24"/>
        </w:rPr>
        <w:t>with Moving Servic</w:t>
      </w:r>
      <w:r w:rsidR="001A3A56" w:rsidRPr="000E5B7A">
        <w:rPr>
          <w:rFonts w:ascii="Garamond" w:eastAsia="Times New Roman" w:hAnsi="Garamond" w:cs="Helvetica"/>
          <w:color w:val="333333"/>
          <w:sz w:val="24"/>
          <w:szCs w:val="24"/>
        </w:rPr>
        <w:t xml:space="preserve">es for transfer of surplus </w:t>
      </w:r>
      <w:r w:rsidR="0045677C" w:rsidRPr="000E5B7A">
        <w:rPr>
          <w:rFonts w:ascii="Garamond" w:eastAsia="Times New Roman" w:hAnsi="Garamond" w:cs="Helvetica"/>
          <w:color w:val="333333"/>
          <w:sz w:val="24"/>
          <w:szCs w:val="24"/>
        </w:rPr>
        <w:t>property.</w:t>
      </w:r>
    </w:p>
    <w:p w14:paraId="434DC933" w14:textId="77777777" w:rsidR="007929D7" w:rsidRPr="000E5B7A" w:rsidRDefault="007929D7" w:rsidP="001D104E">
      <w:pPr>
        <w:pStyle w:val="ListParagraph"/>
        <w:shd w:val="clear" w:color="auto" w:fill="FFFFFF"/>
        <w:spacing w:before="100" w:beforeAutospacing="1" w:after="240" w:line="240" w:lineRule="auto"/>
        <w:rPr>
          <w:rFonts w:ascii="Garamond" w:eastAsia="Times New Roman" w:hAnsi="Garamond" w:cs="Helvetica"/>
          <w:color w:val="333333"/>
          <w:sz w:val="24"/>
          <w:szCs w:val="24"/>
        </w:rPr>
      </w:pPr>
    </w:p>
    <w:p w14:paraId="1A2C756F" w14:textId="77777777" w:rsidR="007929D7" w:rsidRPr="000E5B7A" w:rsidRDefault="00BD483D" w:rsidP="001D104E">
      <w:pPr>
        <w:pStyle w:val="ListParagraph"/>
        <w:numPr>
          <w:ilvl w:val="1"/>
          <w:numId w:val="8"/>
        </w:numPr>
        <w:shd w:val="clear" w:color="auto" w:fill="FFFFFF"/>
        <w:spacing w:before="100" w:beforeAutospacing="1" w:after="240" w:line="240" w:lineRule="auto"/>
        <w:rPr>
          <w:rFonts w:ascii="Garamond" w:eastAsia="Times New Roman" w:hAnsi="Garamond" w:cs="Helvetica"/>
          <w:b/>
          <w:color w:val="333333"/>
          <w:sz w:val="24"/>
          <w:szCs w:val="24"/>
        </w:rPr>
      </w:pPr>
      <w:r w:rsidRPr="000E5B7A">
        <w:rPr>
          <w:rFonts w:ascii="Garamond" w:eastAsia="Times New Roman" w:hAnsi="Garamond" w:cs="Helvetica"/>
          <w:b/>
          <w:color w:val="333333"/>
          <w:sz w:val="24"/>
          <w:szCs w:val="24"/>
        </w:rPr>
        <w:t>EH&amp;S</w:t>
      </w:r>
    </w:p>
    <w:p w14:paraId="36A1D6E0" w14:textId="50AC69AA" w:rsidR="00D76CE9" w:rsidRPr="000E5B7A" w:rsidRDefault="00D76CE9" w:rsidP="001D104E">
      <w:pPr>
        <w:pStyle w:val="ListParagraph"/>
        <w:numPr>
          <w:ilvl w:val="2"/>
          <w:numId w:val="8"/>
        </w:numPr>
        <w:shd w:val="clear" w:color="auto" w:fill="FFFFFF"/>
        <w:spacing w:before="100" w:beforeAutospacing="1" w:after="240" w:line="240" w:lineRule="auto"/>
        <w:rPr>
          <w:rFonts w:ascii="Garamond" w:eastAsia="Times New Roman" w:hAnsi="Garamond" w:cs="Helvetica"/>
          <w:b/>
          <w:color w:val="333333"/>
          <w:sz w:val="24"/>
          <w:szCs w:val="24"/>
        </w:rPr>
      </w:pPr>
      <w:r w:rsidRPr="000E5B7A">
        <w:rPr>
          <w:rFonts w:ascii="Garamond" w:eastAsia="Times New Roman" w:hAnsi="Garamond" w:cs="Helvetica"/>
          <w:color w:val="333333"/>
          <w:sz w:val="24"/>
          <w:szCs w:val="24"/>
        </w:rPr>
        <w:t xml:space="preserve">If the property contains or has contained any hazardous </w:t>
      </w:r>
      <w:r w:rsidR="00FC045D" w:rsidRPr="000E5B7A">
        <w:rPr>
          <w:rFonts w:ascii="Garamond" w:eastAsia="Times New Roman" w:hAnsi="Garamond" w:cs="Helvetica"/>
          <w:color w:val="333333"/>
          <w:sz w:val="24"/>
          <w:szCs w:val="24"/>
        </w:rPr>
        <w:t>material,</w:t>
      </w:r>
      <w:r w:rsidRPr="000E5B7A">
        <w:rPr>
          <w:rFonts w:ascii="Garamond" w:eastAsia="Times New Roman" w:hAnsi="Garamond" w:cs="Helvetica"/>
          <w:color w:val="333333"/>
          <w:sz w:val="24"/>
          <w:szCs w:val="24"/>
        </w:rPr>
        <w:t xml:space="preserve"> then the property must be properly decontaminated in accordance with procedures approved by EH&amp;S and/or Prospective Health.  For biological and/or radiological hazards, contact Prospective Health at 744-2070.  For chemical and all other hazards contact EH&amp;S at 328-6166.  If it is determined that the equipment is beyond </w:t>
      </w:r>
      <w:r w:rsidR="00FC045D" w:rsidRPr="000E5B7A">
        <w:rPr>
          <w:rFonts w:ascii="Garamond" w:eastAsia="Times New Roman" w:hAnsi="Garamond" w:cs="Helvetica"/>
          <w:color w:val="333333"/>
          <w:sz w:val="24"/>
          <w:szCs w:val="24"/>
        </w:rPr>
        <w:t>decontamination,</w:t>
      </w:r>
      <w:r w:rsidRPr="000E5B7A">
        <w:rPr>
          <w:rFonts w:ascii="Garamond" w:eastAsia="Times New Roman" w:hAnsi="Garamond" w:cs="Helvetica"/>
          <w:color w:val="333333"/>
          <w:sz w:val="24"/>
          <w:szCs w:val="24"/>
        </w:rPr>
        <w:t xml:space="preserve"> then the equipment must be offered for proper disposal. </w:t>
      </w:r>
    </w:p>
    <w:p w14:paraId="79BD2803" w14:textId="77777777" w:rsidR="007929D7" w:rsidRPr="000E5B7A" w:rsidRDefault="007929D7" w:rsidP="001D104E">
      <w:pPr>
        <w:pStyle w:val="ListParagraph"/>
        <w:shd w:val="clear" w:color="auto" w:fill="FFFFFF"/>
        <w:spacing w:before="100" w:beforeAutospacing="1" w:after="240" w:line="240" w:lineRule="auto"/>
        <w:rPr>
          <w:rFonts w:ascii="Garamond" w:eastAsia="Times New Roman" w:hAnsi="Garamond" w:cs="Helvetica"/>
          <w:b/>
          <w:color w:val="333333"/>
          <w:sz w:val="24"/>
          <w:szCs w:val="24"/>
        </w:rPr>
      </w:pPr>
    </w:p>
    <w:p w14:paraId="68B4F6B8" w14:textId="015E789A" w:rsidR="005E0FA5" w:rsidRPr="000E5B7A" w:rsidRDefault="00D76CE9" w:rsidP="001D104E">
      <w:pPr>
        <w:pStyle w:val="ListParagraph"/>
        <w:numPr>
          <w:ilvl w:val="2"/>
          <w:numId w:val="8"/>
        </w:numPr>
        <w:shd w:val="clear" w:color="auto" w:fill="FFFFFF"/>
        <w:spacing w:after="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EH&amp;S and/or Prospective Health must inspect equipment requiring decontamination and authorize the move before the department submits a work order to Moving Services.  EH&amp;S and/or Prospective Health staff must check the appropriate authorization box on the “Surplus Property Hazard Assessment” tag and initial to confirm inspection/authorization.</w:t>
      </w:r>
    </w:p>
    <w:p w14:paraId="0169E5F6" w14:textId="77777777" w:rsidR="005E0FA5" w:rsidRPr="000E5B7A" w:rsidRDefault="005E0FA5" w:rsidP="001D104E">
      <w:pPr>
        <w:pStyle w:val="ListParagraph"/>
        <w:shd w:val="clear" w:color="auto" w:fill="FFFFFF"/>
        <w:spacing w:after="0" w:line="240" w:lineRule="auto"/>
        <w:rPr>
          <w:rFonts w:ascii="Garamond" w:eastAsia="Times New Roman" w:hAnsi="Garamond" w:cs="Helvetica"/>
          <w:color w:val="333333"/>
          <w:sz w:val="24"/>
          <w:szCs w:val="24"/>
        </w:rPr>
      </w:pPr>
    </w:p>
    <w:p w14:paraId="56A7BE2C" w14:textId="77777777" w:rsidR="00BD483D" w:rsidRPr="000E5B7A" w:rsidRDefault="00BD483D" w:rsidP="001D104E">
      <w:pPr>
        <w:pStyle w:val="ListParagraph"/>
        <w:numPr>
          <w:ilvl w:val="1"/>
          <w:numId w:val="8"/>
        </w:numPr>
        <w:shd w:val="clear" w:color="auto" w:fill="FFFFFF"/>
        <w:spacing w:after="0" w:line="240" w:lineRule="auto"/>
        <w:rPr>
          <w:rFonts w:ascii="Garamond" w:eastAsia="Times New Roman" w:hAnsi="Garamond" w:cs="Helvetica"/>
          <w:b/>
          <w:color w:val="333333"/>
          <w:sz w:val="24"/>
          <w:szCs w:val="24"/>
        </w:rPr>
      </w:pPr>
      <w:r w:rsidRPr="000E5B7A">
        <w:rPr>
          <w:rFonts w:ascii="Garamond" w:eastAsia="Times New Roman" w:hAnsi="Garamond" w:cs="Helvetica"/>
          <w:b/>
          <w:color w:val="333333"/>
          <w:sz w:val="24"/>
          <w:szCs w:val="24"/>
        </w:rPr>
        <w:t>Moving Services</w:t>
      </w:r>
      <w:r w:rsidR="00BF3010" w:rsidRPr="000E5B7A">
        <w:rPr>
          <w:rFonts w:ascii="Garamond" w:eastAsia="Times New Roman" w:hAnsi="Garamond" w:cs="Helvetica"/>
          <w:b/>
          <w:color w:val="333333"/>
          <w:sz w:val="24"/>
          <w:szCs w:val="24"/>
        </w:rPr>
        <w:t xml:space="preserve"> Personnel</w:t>
      </w:r>
    </w:p>
    <w:p w14:paraId="7C37737A" w14:textId="77777777" w:rsidR="00BD483D" w:rsidRPr="000E5B7A" w:rsidRDefault="00BD483D" w:rsidP="001D104E">
      <w:pPr>
        <w:pStyle w:val="ListParagraph"/>
        <w:numPr>
          <w:ilvl w:val="2"/>
          <w:numId w:val="8"/>
        </w:numPr>
        <w:shd w:val="clear" w:color="auto" w:fill="FFFFFF"/>
        <w:spacing w:after="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Personnel must not accept equipment for transfer unless a completed “Surplus Property Hazard Assessment” tag is attached to the equipment.</w:t>
      </w:r>
    </w:p>
    <w:p w14:paraId="7655FE49" w14:textId="77777777" w:rsidR="00BD483D" w:rsidRPr="000E5B7A" w:rsidRDefault="00BD483D" w:rsidP="001D104E">
      <w:pPr>
        <w:pStyle w:val="ListParagraph"/>
        <w:numPr>
          <w:ilvl w:val="2"/>
          <w:numId w:val="8"/>
        </w:numPr>
        <w:shd w:val="clear" w:color="auto" w:fill="FFFFFF"/>
        <w:spacing w:after="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lastRenderedPageBreak/>
        <w:t>Personnel shall inspect all equipment before taking possession to ensure no obvious unsecured hazards exist.</w:t>
      </w:r>
    </w:p>
    <w:p w14:paraId="5C09372C" w14:textId="77777777" w:rsidR="007929D7" w:rsidRPr="000E5B7A" w:rsidRDefault="007929D7" w:rsidP="001D104E">
      <w:pPr>
        <w:pStyle w:val="ListParagraph"/>
        <w:shd w:val="clear" w:color="auto" w:fill="FFFFFF"/>
        <w:spacing w:before="100" w:beforeAutospacing="1" w:after="240" w:line="240" w:lineRule="auto"/>
        <w:rPr>
          <w:rFonts w:ascii="Garamond" w:eastAsia="Times New Roman" w:hAnsi="Garamond" w:cs="Helvetica"/>
          <w:color w:val="333333"/>
          <w:sz w:val="24"/>
          <w:szCs w:val="24"/>
        </w:rPr>
      </w:pPr>
    </w:p>
    <w:p w14:paraId="6896682D" w14:textId="77777777" w:rsidR="007929D7" w:rsidRPr="000E5B7A" w:rsidRDefault="00BD483D" w:rsidP="001D104E">
      <w:pPr>
        <w:pStyle w:val="ListParagraph"/>
        <w:numPr>
          <w:ilvl w:val="2"/>
          <w:numId w:val="8"/>
        </w:numPr>
        <w:shd w:val="clear" w:color="auto" w:fill="FFFFFF"/>
        <w:spacing w:before="100" w:beforeAutospacing="1" w:after="24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Personnel must immediately cease activities if they identify any potential health or safety hazard and then shall contact their supervisor and EH&amp;S or Prospective Health for assistance.</w:t>
      </w:r>
    </w:p>
    <w:p w14:paraId="6D277457" w14:textId="77777777" w:rsidR="007929D7" w:rsidRPr="000E5B7A" w:rsidRDefault="007929D7" w:rsidP="001D104E">
      <w:pPr>
        <w:pStyle w:val="ListParagraph"/>
        <w:rPr>
          <w:rFonts w:ascii="Garamond" w:eastAsia="Times New Roman" w:hAnsi="Garamond" w:cs="Helvetica"/>
          <w:color w:val="333333"/>
          <w:sz w:val="24"/>
          <w:szCs w:val="24"/>
        </w:rPr>
      </w:pPr>
    </w:p>
    <w:p w14:paraId="1DA72053" w14:textId="77777777" w:rsidR="001D104E" w:rsidRPr="001D104E" w:rsidRDefault="00BD483D" w:rsidP="001D104E">
      <w:pPr>
        <w:pStyle w:val="ListParagraph"/>
        <w:numPr>
          <w:ilvl w:val="2"/>
          <w:numId w:val="8"/>
        </w:numPr>
        <w:shd w:val="clear" w:color="auto" w:fill="FFFFFF"/>
        <w:spacing w:before="100" w:beforeAutospacing="1" w:after="24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Personnel must attend training provided by EH&amp;S and Prospective Health.</w:t>
      </w:r>
    </w:p>
    <w:p w14:paraId="2F8FC73A" w14:textId="77777777" w:rsidR="000937A2" w:rsidRPr="001D104E" w:rsidRDefault="001D104E" w:rsidP="001D104E">
      <w:pPr>
        <w:shd w:val="clear" w:color="auto" w:fill="FFFFFF"/>
        <w:spacing w:after="0" w:line="240" w:lineRule="auto"/>
        <w:rPr>
          <w:rFonts w:ascii="Garamond" w:eastAsia="Times New Roman" w:hAnsi="Garamond" w:cs="Helvetica"/>
          <w:b/>
          <w:color w:val="333333"/>
          <w:sz w:val="24"/>
          <w:szCs w:val="24"/>
        </w:rPr>
      </w:pPr>
      <w:r w:rsidRPr="001D104E">
        <w:rPr>
          <w:rFonts w:ascii="Garamond" w:eastAsia="Times New Roman" w:hAnsi="Garamond" w:cs="Helvetica"/>
          <w:b/>
          <w:color w:val="333333"/>
          <w:sz w:val="24"/>
          <w:szCs w:val="24"/>
        </w:rPr>
        <w:t>3.</w:t>
      </w:r>
      <w:r>
        <w:rPr>
          <w:rFonts w:ascii="Garamond" w:eastAsia="Times New Roman" w:hAnsi="Garamond" w:cs="Helvetica"/>
          <w:b/>
          <w:color w:val="333333"/>
          <w:sz w:val="24"/>
          <w:szCs w:val="24"/>
        </w:rPr>
        <w:t xml:space="preserve"> </w:t>
      </w:r>
      <w:r w:rsidR="000937A2" w:rsidRPr="001D104E">
        <w:rPr>
          <w:rFonts w:ascii="Garamond" w:eastAsia="Times New Roman" w:hAnsi="Garamond" w:cs="Helvetica"/>
          <w:b/>
          <w:color w:val="333333"/>
          <w:sz w:val="24"/>
          <w:szCs w:val="24"/>
        </w:rPr>
        <w:t>Transfer of Contaminated Surplus Property</w:t>
      </w:r>
    </w:p>
    <w:p w14:paraId="39DAC2F4" w14:textId="77777777" w:rsidR="001D104E" w:rsidRPr="001D104E" w:rsidRDefault="001D104E" w:rsidP="001D104E">
      <w:pPr>
        <w:shd w:val="clear" w:color="auto" w:fill="FFFFFF"/>
        <w:spacing w:after="0" w:line="240" w:lineRule="auto"/>
        <w:rPr>
          <w:rFonts w:ascii="Garamond" w:eastAsia="Times New Roman" w:hAnsi="Garamond" w:cs="Helvetica"/>
          <w:b/>
          <w:color w:val="333333"/>
          <w:sz w:val="24"/>
          <w:szCs w:val="24"/>
        </w:rPr>
      </w:pPr>
    </w:p>
    <w:p w14:paraId="1875DE0A" w14:textId="77777777" w:rsidR="0057583C" w:rsidRPr="001D104E" w:rsidRDefault="00D76CE9" w:rsidP="001D104E">
      <w:pPr>
        <w:pStyle w:val="ListParagraph"/>
        <w:numPr>
          <w:ilvl w:val="1"/>
          <w:numId w:val="10"/>
        </w:numPr>
        <w:shd w:val="clear" w:color="auto" w:fill="FFFFFF"/>
        <w:spacing w:after="0" w:line="240" w:lineRule="auto"/>
        <w:rPr>
          <w:rFonts w:ascii="Garamond" w:eastAsia="Times New Roman" w:hAnsi="Garamond" w:cs="Helvetica"/>
          <w:color w:val="333333"/>
          <w:sz w:val="24"/>
          <w:szCs w:val="24"/>
        </w:rPr>
      </w:pPr>
      <w:r w:rsidRPr="001D104E">
        <w:rPr>
          <w:rFonts w:ascii="Garamond" w:eastAsia="Times New Roman" w:hAnsi="Garamond" w:cs="Helvetica"/>
          <w:color w:val="333333"/>
          <w:sz w:val="24"/>
          <w:szCs w:val="24"/>
        </w:rPr>
        <w:t xml:space="preserve">Moving </w:t>
      </w:r>
      <w:r w:rsidR="0057583C" w:rsidRPr="001D104E">
        <w:rPr>
          <w:rFonts w:ascii="Garamond" w:eastAsia="Times New Roman" w:hAnsi="Garamond" w:cs="Helvetica"/>
          <w:color w:val="333333"/>
          <w:sz w:val="24"/>
          <w:szCs w:val="24"/>
        </w:rPr>
        <w:t xml:space="preserve">services </w:t>
      </w:r>
      <w:r w:rsidRPr="001D104E">
        <w:rPr>
          <w:rFonts w:ascii="Garamond" w:eastAsia="Times New Roman" w:hAnsi="Garamond" w:cs="Helvetica"/>
          <w:color w:val="333333"/>
          <w:sz w:val="24"/>
          <w:szCs w:val="24"/>
        </w:rPr>
        <w:t>personnel will not accept equipment for transport unless “</w:t>
      </w:r>
      <w:hyperlink r:id="rId9" w:history="1">
        <w:r w:rsidRPr="001D104E">
          <w:rPr>
            <w:rFonts w:ascii="Garamond" w:eastAsia="Times New Roman" w:hAnsi="Garamond" w:cs="Helvetica"/>
            <w:color w:val="482071"/>
            <w:sz w:val="24"/>
            <w:szCs w:val="24"/>
          </w:rPr>
          <w:t>Surplus Property Hazard Assessment</w:t>
        </w:r>
      </w:hyperlink>
      <w:r w:rsidRPr="001D104E">
        <w:rPr>
          <w:rFonts w:ascii="Garamond" w:eastAsia="Times New Roman" w:hAnsi="Garamond" w:cs="Helvetica"/>
          <w:color w:val="333333"/>
          <w:sz w:val="24"/>
          <w:szCs w:val="24"/>
        </w:rPr>
        <w:t>” tag is attached and there is no visible contamination</w:t>
      </w:r>
      <w:r w:rsidR="0057583C" w:rsidRPr="001D104E">
        <w:rPr>
          <w:rFonts w:ascii="Garamond" w:eastAsia="Times New Roman" w:hAnsi="Garamond" w:cs="Helvetica"/>
          <w:color w:val="333333"/>
          <w:sz w:val="24"/>
          <w:szCs w:val="24"/>
        </w:rPr>
        <w:t xml:space="preserve">. </w:t>
      </w:r>
    </w:p>
    <w:p w14:paraId="7CD3DF79" w14:textId="77777777" w:rsidR="0057583C" w:rsidRPr="000E5B7A" w:rsidRDefault="0057583C" w:rsidP="001D104E">
      <w:pPr>
        <w:pStyle w:val="ListParagraph"/>
        <w:shd w:val="clear" w:color="auto" w:fill="FFFFFF"/>
        <w:spacing w:before="100" w:beforeAutospacing="1" w:after="100" w:afterAutospacing="1" w:line="240" w:lineRule="auto"/>
        <w:rPr>
          <w:rFonts w:ascii="Garamond" w:eastAsia="Times New Roman" w:hAnsi="Garamond" w:cs="Helvetica"/>
          <w:color w:val="333333"/>
          <w:sz w:val="24"/>
          <w:szCs w:val="24"/>
        </w:rPr>
      </w:pPr>
    </w:p>
    <w:p w14:paraId="67312DD9" w14:textId="77777777" w:rsidR="007929D7" w:rsidRPr="000E5B7A" w:rsidRDefault="0057583C" w:rsidP="001D104E">
      <w:pPr>
        <w:pStyle w:val="ListParagraph"/>
        <w:numPr>
          <w:ilvl w:val="1"/>
          <w:numId w:val="10"/>
        </w:numPr>
        <w:shd w:val="clear" w:color="auto" w:fill="FFFFFF"/>
        <w:spacing w:before="100" w:beforeAutospacing="1" w:after="100" w:afterAutospacing="1"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The equipment owner must schedule move of the equipment in accordance with Facilities Services Moving Services Policy and Procedure (</w:t>
      </w:r>
      <w:hyperlink r:id="rId10" w:history="1">
        <w:r w:rsidRPr="000E5B7A">
          <w:rPr>
            <w:rFonts w:ascii="Garamond" w:eastAsia="Times New Roman" w:hAnsi="Garamond" w:cs="Helvetica"/>
            <w:color w:val="482071"/>
            <w:sz w:val="24"/>
            <w:szCs w:val="24"/>
          </w:rPr>
          <w:t>SP 39-0001</w:t>
        </w:r>
      </w:hyperlink>
      <w:r w:rsidRPr="000E5B7A">
        <w:rPr>
          <w:rFonts w:ascii="Garamond" w:eastAsia="Times New Roman" w:hAnsi="Garamond" w:cs="Helvetica"/>
          <w:color w:val="333333"/>
          <w:sz w:val="24"/>
          <w:szCs w:val="24"/>
        </w:rPr>
        <w:t> ) and Materials Management standard practice that includes, but is not limited to, submitting a </w:t>
      </w:r>
      <w:hyperlink r:id="rId11" w:history="1">
        <w:r w:rsidRPr="000E5B7A">
          <w:rPr>
            <w:rFonts w:ascii="Garamond" w:eastAsia="Times New Roman" w:hAnsi="Garamond" w:cs="Helvetica"/>
            <w:color w:val="482071"/>
            <w:sz w:val="24"/>
            <w:szCs w:val="24"/>
          </w:rPr>
          <w:t>Work Order</w:t>
        </w:r>
      </w:hyperlink>
      <w:r w:rsidRPr="000E5B7A">
        <w:rPr>
          <w:rFonts w:ascii="Garamond" w:eastAsia="Times New Roman" w:hAnsi="Garamond" w:cs="Helvetica"/>
          <w:color w:val="333333"/>
          <w:sz w:val="24"/>
          <w:szCs w:val="24"/>
        </w:rPr>
        <w:t>  and completing an “</w:t>
      </w:r>
      <w:hyperlink r:id="rId12" w:history="1">
        <w:r w:rsidRPr="000E5B7A">
          <w:rPr>
            <w:rFonts w:ascii="Garamond" w:eastAsia="Times New Roman" w:hAnsi="Garamond" w:cs="Helvetica"/>
            <w:color w:val="482071"/>
            <w:sz w:val="24"/>
            <w:szCs w:val="24"/>
          </w:rPr>
          <w:t>Equipment/Furniture Removal Request</w:t>
        </w:r>
      </w:hyperlink>
      <w:r w:rsidRPr="000E5B7A">
        <w:rPr>
          <w:rFonts w:ascii="Garamond" w:eastAsia="Times New Roman" w:hAnsi="Garamond" w:cs="Helvetica"/>
          <w:color w:val="333333"/>
          <w:sz w:val="24"/>
          <w:szCs w:val="24"/>
        </w:rPr>
        <w:t>”. </w:t>
      </w:r>
      <w:r w:rsidRPr="000E5B7A">
        <w:rPr>
          <w:rFonts w:ascii="Garamond" w:eastAsia="Times New Roman" w:hAnsi="Garamond" w:cs="Helvetica"/>
          <w:b/>
          <w:bCs/>
          <w:color w:val="333333"/>
          <w:sz w:val="24"/>
          <w:szCs w:val="24"/>
        </w:rPr>
        <w:t>NOTE: </w:t>
      </w:r>
      <w:r w:rsidRPr="000E5B7A">
        <w:rPr>
          <w:rFonts w:ascii="Garamond" w:eastAsia="Times New Roman" w:hAnsi="Garamond" w:cs="Helvetica"/>
          <w:color w:val="333333"/>
          <w:sz w:val="24"/>
          <w:szCs w:val="24"/>
        </w:rPr>
        <w:t>A minimum of 10 working days advance notification is required for scheduling moves and longer during busy periods such as Registration, Commencement, Homecoming, etc. </w:t>
      </w:r>
    </w:p>
    <w:p w14:paraId="64B8D8A3" w14:textId="77777777" w:rsidR="007929D7" w:rsidRPr="000E5B7A" w:rsidRDefault="007929D7" w:rsidP="001D104E">
      <w:pPr>
        <w:pStyle w:val="ListParagraph"/>
        <w:shd w:val="clear" w:color="auto" w:fill="FFFFFF"/>
        <w:spacing w:before="100" w:beforeAutospacing="1" w:after="100" w:afterAutospacing="1" w:line="240" w:lineRule="auto"/>
        <w:rPr>
          <w:rFonts w:ascii="Garamond" w:eastAsia="Times New Roman" w:hAnsi="Garamond" w:cs="Helvetica"/>
          <w:color w:val="333333"/>
          <w:sz w:val="24"/>
          <w:szCs w:val="24"/>
        </w:rPr>
      </w:pPr>
    </w:p>
    <w:p w14:paraId="225BDA41" w14:textId="77777777" w:rsidR="007929D7" w:rsidRDefault="001A3A56" w:rsidP="001D104E">
      <w:pPr>
        <w:pStyle w:val="ListParagraph"/>
        <w:numPr>
          <w:ilvl w:val="0"/>
          <w:numId w:val="15"/>
        </w:numPr>
        <w:shd w:val="clear" w:color="auto" w:fill="FFFFFF"/>
        <w:spacing w:before="100" w:beforeAutospacing="1" w:after="100" w:afterAutospacing="1" w:line="240" w:lineRule="auto"/>
        <w:rPr>
          <w:rFonts w:ascii="Garamond" w:eastAsia="Times New Roman" w:hAnsi="Garamond" w:cs="Helvetica"/>
          <w:b/>
          <w:color w:val="333333"/>
          <w:sz w:val="24"/>
          <w:szCs w:val="24"/>
        </w:rPr>
      </w:pPr>
      <w:r w:rsidRPr="000E5B7A">
        <w:rPr>
          <w:rFonts w:ascii="Garamond" w:eastAsia="Times New Roman" w:hAnsi="Garamond" w:cs="Helvetica"/>
          <w:b/>
          <w:color w:val="333333"/>
          <w:sz w:val="24"/>
          <w:szCs w:val="24"/>
        </w:rPr>
        <w:t>Property</w:t>
      </w:r>
      <w:r w:rsidR="000937A2" w:rsidRPr="000E5B7A">
        <w:rPr>
          <w:rFonts w:ascii="Garamond" w:eastAsia="Times New Roman" w:hAnsi="Garamond" w:cs="Helvetica"/>
          <w:b/>
          <w:color w:val="333333"/>
          <w:sz w:val="24"/>
          <w:szCs w:val="24"/>
        </w:rPr>
        <w:t xml:space="preserve"> Criteria</w:t>
      </w:r>
    </w:p>
    <w:p w14:paraId="38D0BED0" w14:textId="77777777" w:rsidR="001D104E" w:rsidRPr="000E5B7A" w:rsidRDefault="001D104E" w:rsidP="001D104E">
      <w:pPr>
        <w:pStyle w:val="ListParagraph"/>
        <w:shd w:val="clear" w:color="auto" w:fill="FFFFFF"/>
        <w:spacing w:before="100" w:beforeAutospacing="1" w:after="100" w:afterAutospacing="1" w:line="240" w:lineRule="auto"/>
        <w:ind w:left="360"/>
        <w:rPr>
          <w:rFonts w:ascii="Garamond" w:eastAsia="Times New Roman" w:hAnsi="Garamond" w:cs="Helvetica"/>
          <w:b/>
          <w:color w:val="333333"/>
          <w:sz w:val="24"/>
          <w:szCs w:val="24"/>
        </w:rPr>
      </w:pPr>
    </w:p>
    <w:p w14:paraId="3B350B2D" w14:textId="77777777" w:rsidR="000937A2" w:rsidRPr="000E5B7A" w:rsidRDefault="007929D7" w:rsidP="001D104E">
      <w:pPr>
        <w:pStyle w:val="ListParagraph"/>
        <w:shd w:val="clear" w:color="auto" w:fill="FFFFFF"/>
        <w:spacing w:before="100" w:beforeAutospacing="1" w:after="100" w:afterAutospacing="1" w:line="240" w:lineRule="auto"/>
        <w:ind w:hanging="720"/>
        <w:rPr>
          <w:rFonts w:ascii="Garamond" w:eastAsia="Times New Roman" w:hAnsi="Garamond" w:cs="Helvetica"/>
          <w:b/>
          <w:color w:val="333333"/>
          <w:sz w:val="24"/>
          <w:szCs w:val="24"/>
        </w:rPr>
      </w:pPr>
      <w:r w:rsidRPr="000E5B7A">
        <w:rPr>
          <w:rFonts w:ascii="Garamond" w:eastAsia="Times New Roman" w:hAnsi="Garamond" w:cs="Helvetica"/>
          <w:b/>
          <w:color w:val="333333"/>
          <w:sz w:val="24"/>
          <w:szCs w:val="24"/>
        </w:rPr>
        <w:t xml:space="preserve">4.1 </w:t>
      </w:r>
      <w:r w:rsidR="001D104E">
        <w:rPr>
          <w:rFonts w:ascii="Garamond" w:eastAsia="Times New Roman" w:hAnsi="Garamond" w:cs="Helvetica"/>
          <w:b/>
          <w:color w:val="333333"/>
          <w:sz w:val="24"/>
          <w:szCs w:val="24"/>
        </w:rPr>
        <w:tab/>
      </w:r>
      <w:r w:rsidRPr="000E5B7A">
        <w:rPr>
          <w:rFonts w:ascii="Garamond" w:eastAsia="Times New Roman" w:hAnsi="Garamond" w:cs="Helvetica"/>
          <w:b/>
          <w:color w:val="333333"/>
          <w:sz w:val="24"/>
          <w:szCs w:val="24"/>
        </w:rPr>
        <w:t>A</w:t>
      </w:r>
      <w:r w:rsidR="001A3A56" w:rsidRPr="000E5B7A">
        <w:rPr>
          <w:rFonts w:ascii="Garamond" w:eastAsia="Times New Roman" w:hAnsi="Garamond" w:cs="Helvetica"/>
          <w:b/>
          <w:color w:val="333333"/>
          <w:sz w:val="24"/>
          <w:szCs w:val="24"/>
        </w:rPr>
        <w:t>pproved Items</w:t>
      </w:r>
      <w:r w:rsidR="00BF3010" w:rsidRPr="000E5B7A">
        <w:rPr>
          <w:rFonts w:ascii="Garamond" w:eastAsia="Times New Roman" w:hAnsi="Garamond" w:cs="Helvetica"/>
          <w:b/>
          <w:color w:val="333333"/>
          <w:sz w:val="24"/>
          <w:szCs w:val="24"/>
        </w:rPr>
        <w:t>:</w:t>
      </w:r>
      <w:r w:rsidR="00BF3010" w:rsidRPr="000E5B7A">
        <w:rPr>
          <w:rFonts w:ascii="Garamond" w:eastAsia="Times New Roman" w:hAnsi="Garamond" w:cs="Helvetica"/>
          <w:color w:val="333333"/>
          <w:sz w:val="24"/>
          <w:szCs w:val="24"/>
        </w:rPr>
        <w:t xml:space="preserve"> </w:t>
      </w:r>
      <w:r w:rsidR="000937A2" w:rsidRPr="000E5B7A">
        <w:rPr>
          <w:rFonts w:ascii="Garamond" w:eastAsia="Times New Roman" w:hAnsi="Garamond" w:cs="Helvetica"/>
          <w:color w:val="333333"/>
          <w:sz w:val="24"/>
          <w:szCs w:val="24"/>
        </w:rPr>
        <w:t>Chemical fume hoods, biological safety cabinets, centrifuges, incubators, cryostats, microfuges, refrigerators, freezers, shakers, chemical storage cabinets, chemical products, thermometers, barometers, gas cylinders, gas chromatographs, germicidal UV lamps, lasers, scintillation counters, and x-ray equipment</w:t>
      </w:r>
    </w:p>
    <w:p w14:paraId="7CFAA079" w14:textId="77777777" w:rsidR="000937A2" w:rsidRPr="000E5B7A" w:rsidRDefault="000937A2" w:rsidP="001D104E">
      <w:pPr>
        <w:pStyle w:val="ListParagraph"/>
        <w:shd w:val="clear" w:color="auto" w:fill="FFFFFF"/>
        <w:spacing w:before="100" w:beforeAutospacing="1" w:after="100" w:afterAutospacing="1" w:line="240" w:lineRule="auto"/>
        <w:rPr>
          <w:rFonts w:ascii="Garamond" w:eastAsia="Times New Roman" w:hAnsi="Garamond" w:cs="Helvetica"/>
          <w:color w:val="333333"/>
          <w:sz w:val="24"/>
          <w:szCs w:val="24"/>
        </w:rPr>
      </w:pPr>
    </w:p>
    <w:p w14:paraId="35EB4E13" w14:textId="645A4777" w:rsidR="004C1C62" w:rsidRPr="00FF4871" w:rsidRDefault="002F16B2" w:rsidP="001D104E">
      <w:pPr>
        <w:pStyle w:val="ListParagraph"/>
        <w:numPr>
          <w:ilvl w:val="1"/>
          <w:numId w:val="16"/>
        </w:numPr>
        <w:shd w:val="clear" w:color="auto" w:fill="FFFFFF"/>
        <w:spacing w:before="100" w:beforeAutospacing="1" w:after="100" w:afterAutospacing="1" w:line="240" w:lineRule="auto"/>
        <w:rPr>
          <w:rFonts w:ascii="Garamond" w:eastAsia="Times New Roman" w:hAnsi="Garamond" w:cs="Helvetica"/>
          <w:b/>
          <w:bCs/>
          <w:sz w:val="24"/>
          <w:szCs w:val="24"/>
        </w:rPr>
      </w:pPr>
      <w:r w:rsidRPr="00FF4871">
        <w:rPr>
          <w:rFonts w:ascii="Garamond" w:eastAsia="Times New Roman" w:hAnsi="Garamond" w:cs="Helvetica"/>
          <w:b/>
          <w:bCs/>
          <w:sz w:val="24"/>
          <w:szCs w:val="24"/>
        </w:rPr>
        <w:t xml:space="preserve">Items </w:t>
      </w:r>
      <w:r w:rsidR="006F1622" w:rsidRPr="00FF4871">
        <w:rPr>
          <w:rFonts w:ascii="Garamond" w:eastAsia="Times New Roman" w:hAnsi="Garamond" w:cs="Helvetica"/>
          <w:b/>
          <w:bCs/>
          <w:sz w:val="24"/>
          <w:szCs w:val="24"/>
        </w:rPr>
        <w:t xml:space="preserve">that require consultation for </w:t>
      </w:r>
      <w:r w:rsidR="00FF4871">
        <w:rPr>
          <w:rFonts w:ascii="Garamond" w:eastAsia="Times New Roman" w:hAnsi="Garamond" w:cs="Helvetica"/>
          <w:b/>
          <w:bCs/>
          <w:sz w:val="24"/>
          <w:szCs w:val="24"/>
        </w:rPr>
        <w:t xml:space="preserve">proper </w:t>
      </w:r>
      <w:r w:rsidR="006F1622" w:rsidRPr="00FF4871">
        <w:rPr>
          <w:rFonts w:ascii="Garamond" w:eastAsia="Times New Roman" w:hAnsi="Garamond" w:cs="Helvetica"/>
          <w:b/>
          <w:bCs/>
          <w:sz w:val="24"/>
          <w:szCs w:val="24"/>
        </w:rPr>
        <w:t>disposal method</w:t>
      </w:r>
      <w:r w:rsidR="00FF4871">
        <w:rPr>
          <w:rFonts w:ascii="Garamond" w:eastAsia="Times New Roman" w:hAnsi="Garamond" w:cs="Helvetica"/>
          <w:b/>
          <w:bCs/>
          <w:sz w:val="24"/>
          <w:szCs w:val="24"/>
        </w:rPr>
        <w:t>:</w:t>
      </w:r>
    </w:p>
    <w:p w14:paraId="1F1EFC28" w14:textId="77777777" w:rsidR="007929D7" w:rsidRPr="000E5B7A" w:rsidRDefault="000937A2" w:rsidP="001D104E">
      <w:pPr>
        <w:pStyle w:val="ListParagraph"/>
        <w:numPr>
          <w:ilvl w:val="2"/>
          <w:numId w:val="16"/>
        </w:numPr>
        <w:shd w:val="clear" w:color="auto" w:fill="FFFFFF"/>
        <w:spacing w:before="100" w:beforeAutospacing="1" w:after="100" w:afterAutospacing="1"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Any device which produces ionizing radiation. ex: x-ray units, x-ray diffraction machines, accelerators, etc.</w:t>
      </w:r>
    </w:p>
    <w:p w14:paraId="02BC486D" w14:textId="77777777" w:rsidR="007929D7" w:rsidRPr="000E5B7A" w:rsidRDefault="007929D7" w:rsidP="001D104E">
      <w:pPr>
        <w:pStyle w:val="ListParagraph"/>
        <w:shd w:val="clear" w:color="auto" w:fill="FFFFFF"/>
        <w:spacing w:before="100" w:beforeAutospacing="1" w:after="100" w:afterAutospacing="1" w:line="240" w:lineRule="auto"/>
        <w:rPr>
          <w:rFonts w:ascii="Garamond" w:eastAsia="Times New Roman" w:hAnsi="Garamond" w:cs="Helvetica"/>
          <w:color w:val="333333"/>
          <w:sz w:val="24"/>
          <w:szCs w:val="24"/>
        </w:rPr>
      </w:pPr>
    </w:p>
    <w:p w14:paraId="0C33326D" w14:textId="3612398D" w:rsidR="007929D7" w:rsidRPr="000E5B7A" w:rsidRDefault="000937A2" w:rsidP="001D104E">
      <w:pPr>
        <w:pStyle w:val="ListParagraph"/>
        <w:numPr>
          <w:ilvl w:val="2"/>
          <w:numId w:val="16"/>
        </w:numPr>
        <w:shd w:val="clear" w:color="auto" w:fill="FFFFFF"/>
        <w:spacing w:before="100" w:beforeAutospacing="1" w:after="100" w:afterAutospacing="1"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 xml:space="preserve">Equipment which may be contaminated with radioactive material. ex: refrigerators, freezers, centrifuges, </w:t>
      </w:r>
      <w:r w:rsidR="006F1622" w:rsidRPr="00FF4871">
        <w:rPr>
          <w:rFonts w:ascii="Garamond" w:eastAsia="Times New Roman" w:hAnsi="Garamond" w:cs="Helvetica"/>
          <w:sz w:val="24"/>
          <w:szCs w:val="24"/>
        </w:rPr>
        <w:t xml:space="preserve">scintillation counters, </w:t>
      </w:r>
      <w:r w:rsidRPr="000E5B7A">
        <w:rPr>
          <w:rFonts w:ascii="Garamond" w:eastAsia="Times New Roman" w:hAnsi="Garamond" w:cs="Helvetica"/>
          <w:color w:val="333333"/>
          <w:sz w:val="24"/>
          <w:szCs w:val="24"/>
        </w:rPr>
        <w:t>etc.</w:t>
      </w:r>
    </w:p>
    <w:p w14:paraId="23223540" w14:textId="77777777" w:rsidR="007929D7" w:rsidRPr="000E5B7A" w:rsidRDefault="007929D7" w:rsidP="001D104E">
      <w:pPr>
        <w:pStyle w:val="ListParagraph"/>
        <w:shd w:val="clear" w:color="auto" w:fill="FFFFFF"/>
        <w:spacing w:before="100" w:beforeAutospacing="1" w:after="100" w:afterAutospacing="1" w:line="240" w:lineRule="auto"/>
        <w:rPr>
          <w:rFonts w:ascii="Garamond" w:eastAsia="Times New Roman" w:hAnsi="Garamond" w:cs="Helvetica"/>
          <w:color w:val="333333"/>
          <w:sz w:val="24"/>
          <w:szCs w:val="24"/>
        </w:rPr>
      </w:pPr>
    </w:p>
    <w:p w14:paraId="7261A4D1" w14:textId="13F1075C" w:rsidR="007929D7" w:rsidRPr="000E5B7A" w:rsidRDefault="000937A2" w:rsidP="001D104E">
      <w:pPr>
        <w:pStyle w:val="ListParagraph"/>
        <w:numPr>
          <w:ilvl w:val="2"/>
          <w:numId w:val="16"/>
        </w:numPr>
        <w:shd w:val="clear" w:color="auto" w:fill="FFFFFF"/>
        <w:spacing w:before="100" w:beforeAutospacing="1" w:after="100" w:afterAutospacing="1"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 xml:space="preserve">Equipment with sealed radioactive source(s). ex: some gas chromatographs, Beta and Gamma scintillation (older models) </w:t>
      </w:r>
      <w:r w:rsidRPr="00FF4871">
        <w:rPr>
          <w:rFonts w:ascii="Garamond" w:eastAsia="Times New Roman" w:hAnsi="Garamond" w:cs="Helvetica"/>
          <w:sz w:val="24"/>
          <w:szCs w:val="24"/>
        </w:rPr>
        <w:t xml:space="preserve">counters, </w:t>
      </w:r>
      <w:r w:rsidR="006F1622" w:rsidRPr="00FF4871">
        <w:rPr>
          <w:rFonts w:ascii="Garamond" w:eastAsia="Times New Roman" w:hAnsi="Garamond" w:cs="Helvetica"/>
          <w:sz w:val="24"/>
          <w:szCs w:val="24"/>
        </w:rPr>
        <w:t xml:space="preserve">scintillation counters, </w:t>
      </w:r>
      <w:r w:rsidRPr="00FF4871">
        <w:rPr>
          <w:rFonts w:ascii="Garamond" w:eastAsia="Times New Roman" w:hAnsi="Garamond" w:cs="Helvetica"/>
          <w:sz w:val="24"/>
          <w:szCs w:val="24"/>
        </w:rPr>
        <w:t xml:space="preserve">portable </w:t>
      </w:r>
      <w:r w:rsidRPr="000E5B7A">
        <w:rPr>
          <w:rFonts w:ascii="Garamond" w:eastAsia="Times New Roman" w:hAnsi="Garamond" w:cs="Helvetica"/>
          <w:color w:val="333333"/>
          <w:sz w:val="24"/>
          <w:szCs w:val="24"/>
        </w:rPr>
        <w:t>ha</w:t>
      </w:r>
      <w:r w:rsidR="007929D7" w:rsidRPr="000E5B7A">
        <w:rPr>
          <w:rFonts w:ascii="Garamond" w:eastAsia="Times New Roman" w:hAnsi="Garamond" w:cs="Helvetica"/>
          <w:color w:val="333333"/>
          <w:sz w:val="24"/>
          <w:szCs w:val="24"/>
        </w:rPr>
        <w:t xml:space="preserve">zardous chemical detectors, etc. </w:t>
      </w:r>
    </w:p>
    <w:p w14:paraId="26FCC8F2" w14:textId="77777777" w:rsidR="007929D7" w:rsidRPr="000E5B7A" w:rsidRDefault="007929D7" w:rsidP="001D104E">
      <w:pPr>
        <w:pStyle w:val="ListParagraph"/>
        <w:shd w:val="clear" w:color="auto" w:fill="FFFFFF"/>
        <w:spacing w:before="100" w:beforeAutospacing="1" w:after="100" w:afterAutospacing="1" w:line="240" w:lineRule="auto"/>
        <w:rPr>
          <w:rFonts w:ascii="Garamond" w:eastAsia="Times New Roman" w:hAnsi="Garamond" w:cs="Helvetica"/>
          <w:color w:val="333333"/>
          <w:sz w:val="24"/>
          <w:szCs w:val="24"/>
        </w:rPr>
      </w:pPr>
    </w:p>
    <w:p w14:paraId="4AB5B412" w14:textId="77777777" w:rsidR="007929D7" w:rsidRPr="000E5B7A" w:rsidRDefault="000937A2" w:rsidP="001D104E">
      <w:pPr>
        <w:pStyle w:val="ListParagraph"/>
        <w:numPr>
          <w:ilvl w:val="2"/>
          <w:numId w:val="16"/>
        </w:numPr>
        <w:shd w:val="clear" w:color="auto" w:fill="FFFFFF"/>
        <w:spacing w:before="100" w:beforeAutospacing="1" w:after="100" w:afterAutospacing="1"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Sealed radioactive sources. ex: small check sources, Cs-137, Am 241, Co-57, etc.</w:t>
      </w:r>
    </w:p>
    <w:p w14:paraId="37C9ED4F" w14:textId="77777777" w:rsidR="007929D7" w:rsidRPr="000E5B7A" w:rsidRDefault="007929D7" w:rsidP="001D104E">
      <w:pPr>
        <w:pStyle w:val="ListParagraph"/>
        <w:rPr>
          <w:rFonts w:ascii="Garamond" w:eastAsia="Times New Roman" w:hAnsi="Garamond" w:cs="Helvetica"/>
          <w:color w:val="333333"/>
          <w:sz w:val="24"/>
          <w:szCs w:val="24"/>
        </w:rPr>
      </w:pPr>
    </w:p>
    <w:p w14:paraId="58A1B036" w14:textId="1CC95A26" w:rsidR="007929D7" w:rsidRPr="00FF4871" w:rsidRDefault="000937A2" w:rsidP="001D104E">
      <w:pPr>
        <w:pStyle w:val="ListParagraph"/>
        <w:numPr>
          <w:ilvl w:val="2"/>
          <w:numId w:val="16"/>
        </w:numPr>
        <w:shd w:val="clear" w:color="auto" w:fill="FFFFFF"/>
        <w:spacing w:before="100" w:beforeAutospacing="1" w:after="100" w:afterAutospacing="1" w:line="240" w:lineRule="auto"/>
        <w:rPr>
          <w:rFonts w:ascii="Garamond" w:eastAsia="Times New Roman" w:hAnsi="Garamond" w:cs="Helvetica"/>
          <w:sz w:val="24"/>
          <w:szCs w:val="24"/>
        </w:rPr>
      </w:pPr>
      <w:r w:rsidRPr="00FF4871">
        <w:rPr>
          <w:rFonts w:ascii="Garamond" w:eastAsia="Times New Roman" w:hAnsi="Garamond" w:cs="Helvetica"/>
          <w:sz w:val="24"/>
          <w:szCs w:val="24"/>
        </w:rPr>
        <w:t xml:space="preserve">Class </w:t>
      </w:r>
      <w:proofErr w:type="spellStart"/>
      <w:r w:rsidRPr="00FF4871">
        <w:rPr>
          <w:rFonts w:ascii="Garamond" w:eastAsia="Times New Roman" w:hAnsi="Garamond" w:cs="Helvetica"/>
          <w:sz w:val="24"/>
          <w:szCs w:val="24"/>
        </w:rPr>
        <w:t>III</w:t>
      </w:r>
      <w:r w:rsidR="006F1622" w:rsidRPr="00FF4871">
        <w:rPr>
          <w:rFonts w:ascii="Garamond" w:eastAsia="Times New Roman" w:hAnsi="Garamond" w:cs="Helvetica"/>
          <w:sz w:val="24"/>
          <w:szCs w:val="24"/>
        </w:rPr>
        <w:t>b</w:t>
      </w:r>
      <w:proofErr w:type="spellEnd"/>
      <w:r w:rsidRPr="00FF4871">
        <w:rPr>
          <w:rFonts w:ascii="Garamond" w:eastAsia="Times New Roman" w:hAnsi="Garamond" w:cs="Helvetica"/>
          <w:sz w:val="24"/>
          <w:szCs w:val="24"/>
        </w:rPr>
        <w:t xml:space="preserve"> and IV </w:t>
      </w:r>
      <w:r w:rsidR="001B7988" w:rsidRPr="00FF4871">
        <w:rPr>
          <w:rFonts w:ascii="Garamond" w:eastAsia="Times New Roman" w:hAnsi="Garamond" w:cs="Helvetica"/>
          <w:sz w:val="24"/>
          <w:szCs w:val="24"/>
        </w:rPr>
        <w:t>laser</w:t>
      </w:r>
      <w:r w:rsidRPr="00FF4871">
        <w:rPr>
          <w:rFonts w:ascii="Garamond" w:eastAsia="Times New Roman" w:hAnsi="Garamond" w:cs="Helvetica"/>
          <w:sz w:val="24"/>
          <w:szCs w:val="24"/>
        </w:rPr>
        <w:t xml:space="preserve"> devices.</w:t>
      </w:r>
    </w:p>
    <w:p w14:paraId="53E7661A" w14:textId="77777777" w:rsidR="006F1622" w:rsidRPr="00FF4871" w:rsidRDefault="006F1622" w:rsidP="006F1622">
      <w:pPr>
        <w:pStyle w:val="ListParagraph"/>
        <w:rPr>
          <w:rFonts w:ascii="Garamond" w:eastAsia="Times New Roman" w:hAnsi="Garamond" w:cs="Helvetica"/>
          <w:sz w:val="24"/>
          <w:szCs w:val="24"/>
        </w:rPr>
      </w:pPr>
    </w:p>
    <w:p w14:paraId="2BE6E4E1" w14:textId="22DBAE75" w:rsidR="006F1622" w:rsidRPr="00FF4871" w:rsidRDefault="006F1622" w:rsidP="001D104E">
      <w:pPr>
        <w:pStyle w:val="ListParagraph"/>
        <w:numPr>
          <w:ilvl w:val="2"/>
          <w:numId w:val="16"/>
        </w:numPr>
        <w:shd w:val="clear" w:color="auto" w:fill="FFFFFF"/>
        <w:spacing w:before="100" w:beforeAutospacing="1" w:after="100" w:afterAutospacing="1" w:line="240" w:lineRule="auto"/>
        <w:rPr>
          <w:rFonts w:ascii="Garamond" w:eastAsia="Times New Roman" w:hAnsi="Garamond" w:cs="Helvetica"/>
          <w:sz w:val="24"/>
          <w:szCs w:val="24"/>
        </w:rPr>
      </w:pPr>
      <w:r w:rsidRPr="00FF4871">
        <w:rPr>
          <w:rFonts w:ascii="Garamond" w:eastAsia="Times New Roman" w:hAnsi="Garamond" w:cs="Helvetica"/>
          <w:sz w:val="24"/>
          <w:szCs w:val="24"/>
        </w:rPr>
        <w:t>Any device that produces UV light.</w:t>
      </w:r>
    </w:p>
    <w:p w14:paraId="3DE6094B" w14:textId="77777777" w:rsidR="006F1622" w:rsidRPr="000E5B7A" w:rsidRDefault="006F1622" w:rsidP="001D104E">
      <w:pPr>
        <w:pStyle w:val="ListParagraph"/>
        <w:rPr>
          <w:rFonts w:ascii="Garamond" w:eastAsia="Times New Roman" w:hAnsi="Garamond" w:cs="Helvetica"/>
          <w:color w:val="333333"/>
          <w:sz w:val="24"/>
          <w:szCs w:val="24"/>
        </w:rPr>
      </w:pPr>
    </w:p>
    <w:p w14:paraId="55A4DD2E" w14:textId="77777777" w:rsidR="00F85F7B" w:rsidRDefault="000937A2" w:rsidP="001D104E">
      <w:pPr>
        <w:pStyle w:val="ListParagraph"/>
        <w:numPr>
          <w:ilvl w:val="2"/>
          <w:numId w:val="16"/>
        </w:numPr>
        <w:shd w:val="clear" w:color="auto" w:fill="FFFFFF"/>
        <w:spacing w:before="100" w:beforeAutospacing="1" w:after="100" w:afterAutospacing="1"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Equipment which may be contaminated with biological material.</w:t>
      </w:r>
    </w:p>
    <w:p w14:paraId="30C616C3" w14:textId="77777777" w:rsidR="001D104E" w:rsidRDefault="001D104E" w:rsidP="001D104E">
      <w:pPr>
        <w:pStyle w:val="ListParagraph"/>
        <w:rPr>
          <w:rFonts w:ascii="Garamond" w:eastAsia="Times New Roman" w:hAnsi="Garamond" w:cs="Helvetica"/>
          <w:color w:val="333333"/>
          <w:sz w:val="24"/>
          <w:szCs w:val="24"/>
        </w:rPr>
      </w:pPr>
    </w:p>
    <w:p w14:paraId="3A6403A4" w14:textId="77777777" w:rsidR="007500F8" w:rsidRDefault="007500F8" w:rsidP="001D104E">
      <w:pPr>
        <w:pStyle w:val="ListParagraph"/>
        <w:rPr>
          <w:rFonts w:ascii="Garamond" w:eastAsia="Times New Roman" w:hAnsi="Garamond" w:cs="Helvetica"/>
          <w:color w:val="333333"/>
          <w:sz w:val="24"/>
          <w:szCs w:val="24"/>
        </w:rPr>
      </w:pPr>
    </w:p>
    <w:p w14:paraId="29EC8B63" w14:textId="77777777" w:rsidR="007500F8" w:rsidRPr="001D104E" w:rsidRDefault="007500F8" w:rsidP="001D104E">
      <w:pPr>
        <w:pStyle w:val="ListParagraph"/>
        <w:rPr>
          <w:rFonts w:ascii="Garamond" w:eastAsia="Times New Roman" w:hAnsi="Garamond" w:cs="Helvetica"/>
          <w:color w:val="333333"/>
          <w:sz w:val="24"/>
          <w:szCs w:val="24"/>
        </w:rPr>
      </w:pPr>
    </w:p>
    <w:p w14:paraId="72AC2283" w14:textId="77777777" w:rsidR="001D104E" w:rsidRPr="000E5B7A" w:rsidRDefault="001D104E" w:rsidP="001D104E">
      <w:pPr>
        <w:pStyle w:val="ListParagraph"/>
        <w:shd w:val="clear" w:color="auto" w:fill="FFFFFF"/>
        <w:spacing w:before="100" w:beforeAutospacing="1" w:after="100" w:afterAutospacing="1" w:line="240" w:lineRule="auto"/>
        <w:rPr>
          <w:rFonts w:ascii="Garamond" w:eastAsia="Times New Roman" w:hAnsi="Garamond" w:cs="Helvetica"/>
          <w:color w:val="333333"/>
          <w:sz w:val="24"/>
          <w:szCs w:val="24"/>
        </w:rPr>
      </w:pPr>
    </w:p>
    <w:p w14:paraId="50B4FBB7" w14:textId="77777777" w:rsidR="005E0FA5" w:rsidRPr="001D104E" w:rsidRDefault="00D76CE9" w:rsidP="001D104E">
      <w:pPr>
        <w:pStyle w:val="ListParagraph"/>
        <w:numPr>
          <w:ilvl w:val="0"/>
          <w:numId w:val="15"/>
        </w:numPr>
        <w:shd w:val="clear" w:color="auto" w:fill="FFFFFF"/>
        <w:spacing w:after="0" w:line="240" w:lineRule="auto"/>
        <w:rPr>
          <w:rFonts w:ascii="Garamond" w:eastAsia="Times New Roman" w:hAnsi="Garamond" w:cs="Helvetica"/>
          <w:b/>
          <w:bCs/>
          <w:color w:val="333333"/>
          <w:sz w:val="24"/>
          <w:szCs w:val="24"/>
        </w:rPr>
      </w:pPr>
      <w:r w:rsidRPr="001D104E">
        <w:rPr>
          <w:rFonts w:ascii="Garamond" w:eastAsia="Times New Roman" w:hAnsi="Garamond" w:cs="Helvetica"/>
          <w:b/>
          <w:bCs/>
          <w:color w:val="333333"/>
          <w:sz w:val="24"/>
          <w:szCs w:val="24"/>
        </w:rPr>
        <w:t>Surplus Documents and Forms </w:t>
      </w:r>
    </w:p>
    <w:p w14:paraId="4A298CB2" w14:textId="77777777" w:rsidR="001D104E" w:rsidRPr="001D104E" w:rsidRDefault="001D104E" w:rsidP="001D104E">
      <w:pPr>
        <w:pStyle w:val="ListParagraph"/>
        <w:shd w:val="clear" w:color="auto" w:fill="FFFFFF"/>
        <w:spacing w:after="0" w:line="240" w:lineRule="auto"/>
        <w:ind w:left="360"/>
        <w:rPr>
          <w:rFonts w:ascii="Garamond" w:eastAsia="Times New Roman" w:hAnsi="Garamond" w:cs="Helvetica"/>
          <w:color w:val="333333"/>
          <w:sz w:val="24"/>
          <w:szCs w:val="24"/>
        </w:rPr>
      </w:pPr>
    </w:p>
    <w:p w14:paraId="3707741D" w14:textId="77777777" w:rsidR="00D76CE9" w:rsidRPr="00BF3010" w:rsidRDefault="007929D7" w:rsidP="001D104E">
      <w:pPr>
        <w:shd w:val="clear" w:color="auto" w:fill="FFFFFF"/>
        <w:spacing w:after="0" w:line="240" w:lineRule="auto"/>
        <w:rPr>
          <w:rFonts w:ascii="Garamond" w:eastAsia="Times New Roman" w:hAnsi="Garamond" w:cs="Helvetica"/>
          <w:color w:val="333333"/>
          <w:sz w:val="24"/>
          <w:szCs w:val="24"/>
        </w:rPr>
      </w:pPr>
      <w:r w:rsidRPr="000E5B7A">
        <w:rPr>
          <w:rFonts w:ascii="Garamond" w:eastAsia="Times New Roman" w:hAnsi="Garamond" w:cs="Helvetica"/>
          <w:color w:val="333333"/>
          <w:sz w:val="24"/>
          <w:szCs w:val="24"/>
        </w:rPr>
        <w:t>5</w:t>
      </w:r>
      <w:r w:rsidR="007243A0" w:rsidRPr="000E5B7A">
        <w:rPr>
          <w:rFonts w:ascii="Garamond" w:eastAsia="Times New Roman" w:hAnsi="Garamond" w:cs="Helvetica"/>
          <w:color w:val="333333"/>
          <w:sz w:val="24"/>
          <w:szCs w:val="24"/>
        </w:rPr>
        <w:t>.1</w:t>
      </w:r>
      <w:r w:rsidRPr="000E5B7A">
        <w:rPr>
          <w:rFonts w:ascii="Garamond" w:eastAsia="Times New Roman" w:hAnsi="Garamond" w:cs="Helvetica"/>
          <w:color w:val="333333"/>
          <w:sz w:val="24"/>
          <w:szCs w:val="24"/>
        </w:rPr>
        <w:tab/>
      </w:r>
      <w:r w:rsidR="00D76CE9" w:rsidRPr="000E5B7A">
        <w:rPr>
          <w:rFonts w:ascii="Garamond" w:eastAsia="Times New Roman" w:hAnsi="Garamond" w:cs="Helvetica"/>
          <w:color w:val="333333"/>
          <w:sz w:val="24"/>
          <w:szCs w:val="24"/>
        </w:rPr>
        <w:t> </w:t>
      </w:r>
      <w:hyperlink r:id="rId13" w:history="1">
        <w:r w:rsidR="00D76CE9" w:rsidRPr="000E5B7A">
          <w:rPr>
            <w:rFonts w:ascii="Garamond" w:eastAsia="Times New Roman" w:hAnsi="Garamond" w:cs="Helvetica"/>
            <w:color w:val="482071"/>
            <w:sz w:val="24"/>
            <w:szCs w:val="24"/>
          </w:rPr>
          <w:t>Surplus Property Hazard Assessment Tag</w:t>
        </w:r>
      </w:hyperlink>
    </w:p>
    <w:p w14:paraId="33FE4225" w14:textId="77777777" w:rsidR="001C259F" w:rsidRDefault="001C259F"/>
    <w:sectPr w:rsidR="001C2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1203" w14:textId="77777777" w:rsidR="00656903" w:rsidRDefault="00656903" w:rsidP="00D76CE9">
      <w:pPr>
        <w:spacing w:after="0" w:line="240" w:lineRule="auto"/>
      </w:pPr>
      <w:r>
        <w:separator/>
      </w:r>
    </w:p>
  </w:endnote>
  <w:endnote w:type="continuationSeparator" w:id="0">
    <w:p w14:paraId="49A4AC3E" w14:textId="77777777" w:rsidR="00656903" w:rsidRDefault="00656903" w:rsidP="00D7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5ACE" w14:textId="77777777" w:rsidR="00656903" w:rsidRDefault="00656903" w:rsidP="00D76CE9">
      <w:pPr>
        <w:spacing w:after="0" w:line="240" w:lineRule="auto"/>
      </w:pPr>
      <w:r>
        <w:separator/>
      </w:r>
    </w:p>
  </w:footnote>
  <w:footnote w:type="continuationSeparator" w:id="0">
    <w:p w14:paraId="7E0E079D" w14:textId="77777777" w:rsidR="00656903" w:rsidRDefault="00656903" w:rsidP="00D76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AF6"/>
    <w:multiLevelType w:val="hybridMultilevel"/>
    <w:tmpl w:val="8C0E743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69AE"/>
    <w:multiLevelType w:val="multilevel"/>
    <w:tmpl w:val="F076626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5F0109F"/>
    <w:multiLevelType w:val="multilevel"/>
    <w:tmpl w:val="BBD677CA"/>
    <w:lvl w:ilvl="0">
      <w:start w:val="4"/>
      <w:numFmt w:val="decimal"/>
      <w:lvlText w:val="%1."/>
      <w:lvlJc w:val="left"/>
      <w:pPr>
        <w:ind w:left="54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34490EAD"/>
    <w:multiLevelType w:val="hybridMultilevel"/>
    <w:tmpl w:val="7800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21E49"/>
    <w:multiLevelType w:val="hybridMultilevel"/>
    <w:tmpl w:val="1E8C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E1460"/>
    <w:multiLevelType w:val="multilevel"/>
    <w:tmpl w:val="A7B085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0B85BED"/>
    <w:multiLevelType w:val="hybridMultilevel"/>
    <w:tmpl w:val="418CFB8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F0370A"/>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B035C7"/>
    <w:multiLevelType w:val="multilevel"/>
    <w:tmpl w:val="BF0CA5E4"/>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5F3843C6"/>
    <w:multiLevelType w:val="multilevel"/>
    <w:tmpl w:val="9FCA8B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2A05AA7"/>
    <w:multiLevelType w:val="multilevel"/>
    <w:tmpl w:val="2494C2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161CA2"/>
    <w:multiLevelType w:val="multilevel"/>
    <w:tmpl w:val="533CB46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E4576E"/>
    <w:multiLevelType w:val="multilevel"/>
    <w:tmpl w:val="E196EF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9BD4B4C"/>
    <w:multiLevelType w:val="hybridMultilevel"/>
    <w:tmpl w:val="CC682C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16E2B"/>
    <w:multiLevelType w:val="hybridMultilevel"/>
    <w:tmpl w:val="BA76E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C49CA"/>
    <w:multiLevelType w:val="multilevel"/>
    <w:tmpl w:val="7AA6A2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B9422FE"/>
    <w:multiLevelType w:val="hybridMultilevel"/>
    <w:tmpl w:val="4FA25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671486">
    <w:abstractNumId w:val="11"/>
  </w:num>
  <w:num w:numId="2" w16cid:durableId="531577670">
    <w:abstractNumId w:val="12"/>
  </w:num>
  <w:num w:numId="3" w16cid:durableId="936714001">
    <w:abstractNumId w:val="3"/>
  </w:num>
  <w:num w:numId="4" w16cid:durableId="58211133">
    <w:abstractNumId w:val="14"/>
  </w:num>
  <w:num w:numId="5" w16cid:durableId="1545293679">
    <w:abstractNumId w:val="4"/>
  </w:num>
  <w:num w:numId="6" w16cid:durableId="1549755270">
    <w:abstractNumId w:val="13"/>
  </w:num>
  <w:num w:numId="7" w16cid:durableId="1090856774">
    <w:abstractNumId w:val="16"/>
  </w:num>
  <w:num w:numId="8" w16cid:durableId="1168836118">
    <w:abstractNumId w:val="15"/>
  </w:num>
  <w:num w:numId="9" w16cid:durableId="2130322484">
    <w:abstractNumId w:val="7"/>
  </w:num>
  <w:num w:numId="10" w16cid:durableId="439644569">
    <w:abstractNumId w:val="9"/>
  </w:num>
  <w:num w:numId="11" w16cid:durableId="2135512432">
    <w:abstractNumId w:val="2"/>
  </w:num>
  <w:num w:numId="12" w16cid:durableId="340088779">
    <w:abstractNumId w:val="10"/>
  </w:num>
  <w:num w:numId="13" w16cid:durableId="1595243111">
    <w:abstractNumId w:val="5"/>
  </w:num>
  <w:num w:numId="14" w16cid:durableId="803083882">
    <w:abstractNumId w:val="0"/>
  </w:num>
  <w:num w:numId="15" w16cid:durableId="460268876">
    <w:abstractNumId w:val="6"/>
  </w:num>
  <w:num w:numId="16" w16cid:durableId="909969333">
    <w:abstractNumId w:val="8"/>
  </w:num>
  <w:num w:numId="17" w16cid:durableId="1298101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E9"/>
    <w:rsid w:val="000937A2"/>
    <w:rsid w:val="000E5B7A"/>
    <w:rsid w:val="001A3A56"/>
    <w:rsid w:val="001B7988"/>
    <w:rsid w:val="001C259F"/>
    <w:rsid w:val="001D104E"/>
    <w:rsid w:val="002F16B2"/>
    <w:rsid w:val="00343986"/>
    <w:rsid w:val="0045677C"/>
    <w:rsid w:val="004C1C62"/>
    <w:rsid w:val="00523960"/>
    <w:rsid w:val="0057583C"/>
    <w:rsid w:val="005E0FA5"/>
    <w:rsid w:val="005E1B11"/>
    <w:rsid w:val="00656903"/>
    <w:rsid w:val="00666DCE"/>
    <w:rsid w:val="006F1622"/>
    <w:rsid w:val="007243A0"/>
    <w:rsid w:val="007500F8"/>
    <w:rsid w:val="007929D7"/>
    <w:rsid w:val="009B5C0C"/>
    <w:rsid w:val="00BD483D"/>
    <w:rsid w:val="00BF3010"/>
    <w:rsid w:val="00D76CE9"/>
    <w:rsid w:val="00F85F7B"/>
    <w:rsid w:val="00FC045D"/>
    <w:rsid w:val="00FF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746E"/>
  <w15:chartTrackingRefBased/>
  <w15:docId w15:val="{BF45BB1D-1EDC-4A8E-AD92-94418C97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6C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6C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C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6CE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76CE9"/>
  </w:style>
  <w:style w:type="character" w:styleId="Hyperlink">
    <w:name w:val="Hyperlink"/>
    <w:basedOn w:val="DefaultParagraphFont"/>
    <w:uiPriority w:val="99"/>
    <w:unhideWhenUsed/>
    <w:rsid w:val="00D76CE9"/>
    <w:rPr>
      <w:color w:val="0000FF"/>
      <w:u w:val="single"/>
    </w:rPr>
  </w:style>
  <w:style w:type="character" w:styleId="Strong">
    <w:name w:val="Strong"/>
    <w:basedOn w:val="DefaultParagraphFont"/>
    <w:uiPriority w:val="22"/>
    <w:qFormat/>
    <w:rsid w:val="00D76CE9"/>
    <w:rPr>
      <w:b/>
      <w:bCs/>
    </w:rPr>
  </w:style>
  <w:style w:type="paragraph" w:styleId="Header">
    <w:name w:val="header"/>
    <w:basedOn w:val="Normal"/>
    <w:link w:val="HeaderChar"/>
    <w:uiPriority w:val="99"/>
    <w:unhideWhenUsed/>
    <w:rsid w:val="00D7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E9"/>
  </w:style>
  <w:style w:type="paragraph" w:styleId="Footer">
    <w:name w:val="footer"/>
    <w:basedOn w:val="Normal"/>
    <w:link w:val="FooterChar"/>
    <w:uiPriority w:val="99"/>
    <w:unhideWhenUsed/>
    <w:rsid w:val="00D7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E9"/>
  </w:style>
  <w:style w:type="paragraph" w:styleId="ListParagraph">
    <w:name w:val="List Paragraph"/>
    <w:basedOn w:val="Normal"/>
    <w:uiPriority w:val="34"/>
    <w:qFormat/>
    <w:rsid w:val="00093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cs-admin/oehs/ih/upload/Surplus-Tag-date-rev.doc" TargetMode="External"/><Relationship Id="rId13" Type="http://schemas.openxmlformats.org/officeDocument/2006/relationships/hyperlink" Target="http://www.ecu.edu/cs-admin/oehs/ih/upload/Surplus-Tag-date-rev.doc" TargetMode="External"/><Relationship Id="rId3" Type="http://schemas.openxmlformats.org/officeDocument/2006/relationships/settings" Target="settings.xml"/><Relationship Id="rId7" Type="http://schemas.openxmlformats.org/officeDocument/2006/relationships/hyperlink" Target="http://www.ecu.edu/cs-admin/oehs/ih/Surplus-Property.cfm" TargetMode="External"/><Relationship Id="rId12" Type="http://schemas.openxmlformats.org/officeDocument/2006/relationships/hyperlink" Target="http://wwwapps.ecu.edu/mov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u.edu/cs-admin/campus_operations/facilities/index.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u.edu/cs-admin/oehs/ih/upload/390001.doc" TargetMode="External"/><Relationship Id="rId4" Type="http://schemas.openxmlformats.org/officeDocument/2006/relationships/webSettings" Target="webSettings.xml"/><Relationship Id="rId9" Type="http://schemas.openxmlformats.org/officeDocument/2006/relationships/hyperlink" Target="http://www.ecu.edu/cs-admin/oehs/ih/upload/Surplus-Tag-date-rev.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Alana</dc:creator>
  <cp:keywords/>
  <dc:description/>
  <cp:lastModifiedBy>Shook, Kelly</cp:lastModifiedBy>
  <cp:revision>4</cp:revision>
  <cp:lastPrinted>2022-07-20T10:51:00Z</cp:lastPrinted>
  <dcterms:created xsi:type="dcterms:W3CDTF">2022-08-19T14:27:00Z</dcterms:created>
  <dcterms:modified xsi:type="dcterms:W3CDTF">2022-08-19T14:31:00Z</dcterms:modified>
</cp:coreProperties>
</file>